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437D" w14:textId="521DAD3D" w:rsidR="00C57C5D" w:rsidRDefault="00805258" w:rsidP="007119E0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Společnost </w:t>
      </w:r>
      <w:r w:rsidR="00C71AAE">
        <w:rPr>
          <w:rFonts w:ascii="Century Gothic" w:hAnsi="Century Gothic" w:cs="Tahoma"/>
          <w:b/>
          <w:color w:val="887634"/>
          <w:sz w:val="28"/>
          <w:szCs w:val="28"/>
        </w:rPr>
        <w:t>Lexxus Norton se stal</w:t>
      </w:r>
      <w:r>
        <w:rPr>
          <w:rFonts w:ascii="Century Gothic" w:hAnsi="Century Gothic" w:cs="Tahoma"/>
          <w:b/>
          <w:color w:val="887634"/>
          <w:sz w:val="28"/>
          <w:szCs w:val="28"/>
        </w:rPr>
        <w:t>a</w:t>
      </w:r>
      <w:r w:rsidR="00C71AAE">
        <w:rPr>
          <w:rFonts w:ascii="Century Gothic" w:hAnsi="Century Gothic" w:cs="Tahoma"/>
          <w:b/>
          <w:color w:val="887634"/>
          <w:sz w:val="28"/>
          <w:szCs w:val="28"/>
        </w:rPr>
        <w:t xml:space="preserve"> partnerem prestižní konference Family Business Forum</w:t>
      </w:r>
    </w:p>
    <w:p w14:paraId="6703D7B7" w14:textId="1010B021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70B9242A" w14:textId="77CC9C80" w:rsidR="00C71AAE" w:rsidRDefault="00772443" w:rsidP="00C71AAE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255A65">
        <w:rPr>
          <w:rFonts w:ascii="Century Gothic" w:eastAsia="Times New Roman" w:hAnsi="Century Gothic" w:cs="Tahoma"/>
          <w:i/>
        </w:rPr>
        <w:t>12</w:t>
      </w:r>
      <w:r w:rsidR="006107E5">
        <w:rPr>
          <w:rFonts w:ascii="Century Gothic" w:eastAsia="Times New Roman" w:hAnsi="Century Gothic" w:cs="Tahoma"/>
          <w:i/>
        </w:rPr>
        <w:t>. září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5A98CA99" w14:textId="77777777" w:rsidR="00C71AAE" w:rsidRDefault="00C71AAE" w:rsidP="00C71AAE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441BE265" w14:textId="7CD3E9EA" w:rsidR="00F134A8" w:rsidRPr="00F134A8" w:rsidRDefault="00C71AAE" w:rsidP="00F134A8">
      <w:pPr>
        <w:spacing w:after="0" w:line="320" w:lineRule="atLeast"/>
        <w:ind w:left="-567" w:right="-709"/>
        <w:jc w:val="both"/>
        <w:rPr>
          <w:rFonts w:ascii="Century Gothic" w:hAnsi="Century Gothic"/>
          <w:b/>
        </w:rPr>
      </w:pPr>
      <w:r w:rsidRPr="00F134A8">
        <w:rPr>
          <w:rFonts w:ascii="Century Gothic" w:hAnsi="Century Gothic"/>
          <w:b/>
        </w:rPr>
        <w:t xml:space="preserve">Realitní kancelář Lexxus Norton se stala partnerem mezinárodní konference Family Business Forum konané ve dnech 12. – 13. října 2017 na zámku Štiřín. </w:t>
      </w:r>
      <w:r w:rsidR="003A6DA9" w:rsidRPr="00F134A8">
        <w:rPr>
          <w:rFonts w:ascii="Century Gothic" w:hAnsi="Century Gothic"/>
          <w:b/>
        </w:rPr>
        <w:t xml:space="preserve">Oblíbená akce je určená </w:t>
      </w:r>
      <w:r w:rsidR="000B1B7C" w:rsidRPr="00F134A8">
        <w:rPr>
          <w:rFonts w:ascii="Century Gothic" w:hAnsi="Century Gothic"/>
          <w:b/>
        </w:rPr>
        <w:t xml:space="preserve">především pro zástupce rodinných firem, kteří se chtějí zajímavou a inspirativní formou dozvědět nové informace o rodinném podnikání, případně se aktivně zúčastnit výměny zkušeností ze širokého spektra oborů. </w:t>
      </w:r>
      <w:r w:rsidR="00B147F4" w:rsidRPr="00F134A8">
        <w:rPr>
          <w:rFonts w:ascii="Century Gothic" w:hAnsi="Century Gothic"/>
          <w:b/>
        </w:rPr>
        <w:t>Mezi řečníky budou figurovat majitelé</w:t>
      </w:r>
      <w:r w:rsidR="00A304B2">
        <w:rPr>
          <w:rFonts w:ascii="Century Gothic" w:hAnsi="Century Gothic"/>
          <w:b/>
        </w:rPr>
        <w:t xml:space="preserve"> společností</w:t>
      </w:r>
      <w:r w:rsidR="00B147F4" w:rsidRPr="00F134A8">
        <w:rPr>
          <w:rFonts w:ascii="Century Gothic" w:hAnsi="Century Gothic"/>
          <w:b/>
        </w:rPr>
        <w:t xml:space="preserve"> zaměřených např. na vývoj mode</w:t>
      </w:r>
      <w:r w:rsidR="00F134A8" w:rsidRPr="00F134A8">
        <w:rPr>
          <w:rFonts w:ascii="Century Gothic" w:hAnsi="Century Gothic"/>
          <w:b/>
        </w:rPr>
        <w:t xml:space="preserve">rních stavebních materiálů, výrobu </w:t>
      </w:r>
      <w:r w:rsidR="00B147F4" w:rsidRPr="00F134A8">
        <w:rPr>
          <w:rFonts w:ascii="Century Gothic" w:hAnsi="Century Gothic"/>
          <w:b/>
        </w:rPr>
        <w:t>krmiva pro domácí zvířata</w:t>
      </w:r>
      <w:r w:rsidR="00F134A8" w:rsidRPr="00F134A8">
        <w:rPr>
          <w:rFonts w:ascii="Century Gothic" w:hAnsi="Century Gothic"/>
          <w:b/>
        </w:rPr>
        <w:t xml:space="preserve"> nebo inovace průmyslových kontrolních systémů.</w:t>
      </w:r>
    </w:p>
    <w:p w14:paraId="494FB2A1" w14:textId="77777777" w:rsidR="00F134A8" w:rsidRDefault="00F134A8" w:rsidP="00F134A8">
      <w:pPr>
        <w:spacing w:after="0" w:line="320" w:lineRule="atLeast"/>
        <w:ind w:left="-567" w:right="-709"/>
        <w:jc w:val="both"/>
        <w:rPr>
          <w:rFonts w:ascii="Century Gothic" w:hAnsi="Century Gothic"/>
          <w:b/>
        </w:rPr>
      </w:pPr>
    </w:p>
    <w:p w14:paraId="53A6E65C" w14:textId="77777777" w:rsidR="007604C9" w:rsidRDefault="0066303A" w:rsidP="006F1A80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D63AFB">
        <w:rPr>
          <w:rFonts w:ascii="Century Gothic" w:hAnsi="Century Gothic"/>
        </w:rPr>
        <w:t xml:space="preserve">rogram dvoudenní </w:t>
      </w:r>
      <w:r>
        <w:rPr>
          <w:rFonts w:ascii="Century Gothic" w:hAnsi="Century Gothic"/>
        </w:rPr>
        <w:t>akce zahrnuje kromě panelové diskuse na téma expanze rodinných firem do zahraničí, také</w:t>
      </w:r>
      <w:r w:rsidR="00D63AFB">
        <w:rPr>
          <w:rFonts w:ascii="Century Gothic" w:hAnsi="Century Gothic"/>
        </w:rPr>
        <w:t xml:space="preserve"> skupinové debaty, workshop</w:t>
      </w:r>
      <w:r w:rsidR="009942EB">
        <w:rPr>
          <w:rFonts w:ascii="Century Gothic" w:hAnsi="Century Gothic"/>
        </w:rPr>
        <w:t>y a</w:t>
      </w:r>
      <w:r w:rsidR="00D63AFB">
        <w:rPr>
          <w:rFonts w:ascii="Century Gothic" w:hAnsi="Century Gothic"/>
        </w:rPr>
        <w:t xml:space="preserve"> společenský večer s koncertem. </w:t>
      </w:r>
    </w:p>
    <w:p w14:paraId="66EE7319" w14:textId="77777777" w:rsidR="007604C9" w:rsidRDefault="007604C9" w:rsidP="006F1A80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294CEDE8" w14:textId="3996027F" w:rsidR="00BB7998" w:rsidRDefault="00427AA4" w:rsidP="007604C9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r w:rsidR="007604C9">
        <w:rPr>
          <w:rFonts w:ascii="Century Gothic" w:hAnsi="Century Gothic"/>
        </w:rPr>
        <w:t>Family Business Forum nás velmi zaujalo</w:t>
      </w:r>
      <w:r w:rsidR="00BB7998">
        <w:rPr>
          <w:rFonts w:ascii="Century Gothic" w:hAnsi="Century Gothic"/>
        </w:rPr>
        <w:t xml:space="preserve"> svým</w:t>
      </w:r>
      <w:r w:rsidR="007604C9">
        <w:rPr>
          <w:rFonts w:ascii="Century Gothic" w:hAnsi="Century Gothic"/>
        </w:rPr>
        <w:t xml:space="preserve"> zajímavým obsahem i</w:t>
      </w:r>
      <w:r w:rsidR="00BB7998">
        <w:rPr>
          <w:rFonts w:ascii="Century Gothic" w:hAnsi="Century Gothic"/>
        </w:rPr>
        <w:t xml:space="preserve"> celkovým pojetím. </w:t>
      </w:r>
      <w:r w:rsidR="009942EB">
        <w:rPr>
          <w:rFonts w:ascii="Century Gothic" w:hAnsi="Century Gothic"/>
        </w:rPr>
        <w:t xml:space="preserve">Všichni zúčastnění </w:t>
      </w:r>
      <w:r w:rsidR="007604C9">
        <w:rPr>
          <w:rFonts w:ascii="Century Gothic" w:hAnsi="Century Gothic"/>
        </w:rPr>
        <w:t xml:space="preserve">zde </w:t>
      </w:r>
      <w:r w:rsidR="009942EB">
        <w:rPr>
          <w:rFonts w:ascii="Century Gothic" w:hAnsi="Century Gothic"/>
        </w:rPr>
        <w:t>totiž mohou</w:t>
      </w:r>
      <w:r w:rsidR="00BB7998">
        <w:rPr>
          <w:rFonts w:ascii="Century Gothic" w:hAnsi="Century Gothic"/>
        </w:rPr>
        <w:t xml:space="preserve"> čerpat inspiraci od domácích i </w:t>
      </w:r>
      <w:r w:rsidR="009942EB">
        <w:rPr>
          <w:rFonts w:ascii="Century Gothic" w:hAnsi="Century Gothic"/>
        </w:rPr>
        <w:t>zahraničních hostů z řad ús</w:t>
      </w:r>
      <w:r w:rsidR="00BB7998">
        <w:rPr>
          <w:rFonts w:ascii="Century Gothic" w:hAnsi="Century Gothic"/>
        </w:rPr>
        <w:t xml:space="preserve">pěšných multigeneračních firem a zároveň diskutovat o vlastních zkušenostech s jejich vedením. </w:t>
      </w:r>
      <w:r w:rsidR="007604C9">
        <w:rPr>
          <w:rFonts w:ascii="Century Gothic" w:hAnsi="Century Gothic"/>
        </w:rPr>
        <w:t xml:space="preserve">Podnětné informace, které </w:t>
      </w:r>
      <w:r w:rsidR="007F7777">
        <w:rPr>
          <w:rFonts w:ascii="Century Gothic" w:hAnsi="Century Gothic"/>
        </w:rPr>
        <w:t>získají</w:t>
      </w:r>
      <w:r w:rsidR="007604C9">
        <w:rPr>
          <w:rFonts w:ascii="Century Gothic" w:hAnsi="Century Gothic"/>
        </w:rPr>
        <w:t>, mohou</w:t>
      </w:r>
      <w:r w:rsidR="00457334">
        <w:rPr>
          <w:rFonts w:ascii="Century Gothic" w:hAnsi="Century Gothic"/>
        </w:rPr>
        <w:t xml:space="preserve"> navíc</w:t>
      </w:r>
      <w:r w:rsidR="007604C9">
        <w:rPr>
          <w:rFonts w:ascii="Century Gothic" w:hAnsi="Century Gothic"/>
        </w:rPr>
        <w:t xml:space="preserve"> následně využít při řízení vlastní firmy,</w:t>
      </w:r>
      <w:r w:rsidR="00BB7998">
        <w:rPr>
          <w:rFonts w:ascii="Century Gothic" w:hAnsi="Century Gothic"/>
        </w:rPr>
        <w:t>“</w:t>
      </w:r>
      <w:r w:rsidR="007604C9">
        <w:rPr>
          <w:rFonts w:ascii="Century Gothic" w:hAnsi="Century Gothic"/>
        </w:rPr>
        <w:t xml:space="preserve"> komentuje průběh konference </w:t>
      </w:r>
      <w:r w:rsidR="007604C9">
        <w:rPr>
          <w:rFonts w:ascii="Century Gothic" w:hAnsi="Century Gothic" w:cs="Helvetica"/>
          <w:b/>
          <w:bCs/>
          <w:color w:val="000000"/>
        </w:rPr>
        <w:t>Denisa Višňovská</w:t>
      </w:r>
      <w:r w:rsidR="007604C9">
        <w:rPr>
          <w:rFonts w:ascii="Century Gothic" w:hAnsi="Century Gothic" w:cs="Helvetica"/>
          <w:bCs/>
          <w:color w:val="000000"/>
        </w:rPr>
        <w:t>, partner Lexxus Norton.</w:t>
      </w:r>
    </w:p>
    <w:p w14:paraId="2AE3557E" w14:textId="675B8CE5" w:rsidR="00BB7998" w:rsidRDefault="00BB7998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07268C95" w14:textId="72770CEB" w:rsidR="00EC0845" w:rsidRDefault="007604C9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03A4FA6" wp14:editId="4340BAC9">
            <wp:simplePos x="0" y="0"/>
            <wp:positionH relativeFrom="margin">
              <wp:posOffset>-261620</wp:posOffset>
            </wp:positionH>
            <wp:positionV relativeFrom="margin">
              <wp:posOffset>4787900</wp:posOffset>
            </wp:positionV>
            <wp:extent cx="3141345" cy="1993900"/>
            <wp:effectExtent l="0" t="0" r="190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0C707" w14:textId="491CD729" w:rsidR="00EC0845" w:rsidRDefault="00EC0845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37FA6361" w14:textId="57C6E48D" w:rsidR="00EC0845" w:rsidRDefault="00EC0845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105B8BD4" w14:textId="79C5249F" w:rsidR="00BF29DF" w:rsidRDefault="00BF29DF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2D370F38" w14:textId="77777777" w:rsidR="006F0144" w:rsidRDefault="006F0144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4F69CD82" w14:textId="77777777" w:rsidR="007604C9" w:rsidRDefault="007604C9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7E81E993" w14:textId="77777777" w:rsidR="007604C9" w:rsidRDefault="007604C9" w:rsidP="00EC0845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30D23F9F" w14:textId="77777777" w:rsidR="00EC0845" w:rsidRDefault="00EC0845" w:rsidP="00B27F37">
      <w:pPr>
        <w:spacing w:after="0" w:line="320" w:lineRule="atLeast"/>
        <w:ind w:right="-709"/>
        <w:jc w:val="both"/>
        <w:rPr>
          <w:rFonts w:ascii="Century Gothic" w:hAnsi="Century Gothic"/>
        </w:rPr>
      </w:pPr>
    </w:p>
    <w:p w14:paraId="0CDF71BC" w14:textId="09EF01A2" w:rsidR="00EC0845" w:rsidRPr="00EC0845" w:rsidRDefault="00EC0845" w:rsidP="00F134A8">
      <w:pPr>
        <w:spacing w:after="0" w:line="320" w:lineRule="atLeast"/>
        <w:ind w:left="-567" w:right="-709"/>
        <w:jc w:val="both"/>
        <w:rPr>
          <w:rFonts w:ascii="Century Gothic" w:hAnsi="Century Gothic"/>
          <w:i/>
          <w:sz w:val="18"/>
        </w:rPr>
      </w:pPr>
      <w:r w:rsidRPr="00EC0845">
        <w:rPr>
          <w:rFonts w:ascii="Century Gothic" w:hAnsi="Century Gothic"/>
          <w:i/>
          <w:sz w:val="18"/>
        </w:rPr>
        <w:t>Účastníci minulého ročníku konference Family Business Forum. V první řadě uprostřed</w:t>
      </w:r>
      <w:r w:rsidR="00B27F37">
        <w:rPr>
          <w:rFonts w:ascii="Century Gothic" w:hAnsi="Century Gothic"/>
          <w:i/>
          <w:sz w:val="18"/>
        </w:rPr>
        <w:t xml:space="preserve"> majitel firmy Krajíček</w:t>
      </w:r>
      <w:r w:rsidR="00B27F37">
        <w:rPr>
          <w:rFonts w:ascii="Century Gothic" w:hAnsi="Century Gothic"/>
          <w:i/>
          <w:sz w:val="18"/>
          <w:lang w:val="en-US"/>
        </w:rPr>
        <w:t>&amp;</w:t>
      </w:r>
      <w:r w:rsidR="00B27F37">
        <w:rPr>
          <w:rFonts w:ascii="Century Gothic" w:hAnsi="Century Gothic"/>
          <w:i/>
          <w:sz w:val="18"/>
        </w:rPr>
        <w:t xml:space="preserve">Partners David Krajíček, který </w:t>
      </w:r>
      <w:r w:rsidRPr="00EC0845">
        <w:rPr>
          <w:rFonts w:ascii="Century Gothic" w:hAnsi="Century Gothic"/>
          <w:i/>
          <w:sz w:val="18"/>
        </w:rPr>
        <w:t>akci organizuje.</w:t>
      </w:r>
    </w:p>
    <w:p w14:paraId="731AEAE6" w14:textId="77777777" w:rsidR="00EC0845" w:rsidRDefault="00EC0845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57A04B24" w14:textId="77777777" w:rsidR="00EC0845" w:rsidRDefault="00EC0845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332BFB1F" w14:textId="626A00F2" w:rsidR="006F1A80" w:rsidRDefault="006F1A80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230FF8D8" w14:textId="77777777" w:rsidR="00BF29DF" w:rsidRDefault="00BF29DF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36CA2C1E" w14:textId="77777777" w:rsidR="00BF29DF" w:rsidRDefault="00BF29DF" w:rsidP="00F134A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</w:p>
    <w:p w14:paraId="3122FFEF" w14:textId="77777777" w:rsidR="00BB7998" w:rsidRPr="00C64B9F" w:rsidRDefault="00BB7998" w:rsidP="00BB7998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O Lexxus Norton</w:t>
      </w:r>
    </w:p>
    <w:p w14:paraId="26C147E5" w14:textId="77777777" w:rsidR="00BB7998" w:rsidRDefault="00BB7998" w:rsidP="00BB7998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5FEFEE63" w14:textId="77777777" w:rsidR="00BB7998" w:rsidRDefault="00BB7998" w:rsidP="00BB7998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lastRenderedPageBreak/>
        <w:t>Realitní agenti Lexxus Norton kladou maximální důraz na nejlepší servis jak pro developery, tak pro konečné uživatele. Služby Lexxus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A od roku 2017 je členem Asociace pro rozvoj trhu nemovitostí (ARTN).</w:t>
      </w:r>
    </w:p>
    <w:p w14:paraId="12992FC6" w14:textId="77777777" w:rsidR="00BB7998" w:rsidRDefault="00BB7998" w:rsidP="00BB7998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19CA704F" w14:textId="77777777" w:rsidR="00BB7998" w:rsidRPr="00AC34CD" w:rsidRDefault="00BB7998" w:rsidP="00BB7998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06435514" w14:textId="77777777" w:rsidR="00BB7998" w:rsidRDefault="00BB7998" w:rsidP="00BB7998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9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60239397" w14:textId="77777777" w:rsidR="00BB7998" w:rsidRDefault="00BB7998" w:rsidP="00BB799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65A1A98B" w14:textId="7201AF11" w:rsidR="00A81A88" w:rsidRPr="007F2F5E" w:rsidRDefault="0061181D" w:rsidP="00BB799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  <w:hyperlink r:id="rId10" w:history="1">
        <w:r w:rsidR="00BB7998">
          <w:rPr>
            <w:rStyle w:val="Hypertextovodkaz"/>
            <w:rFonts w:ascii="Century Gothic" w:hAnsi="Century Gothic"/>
          </w:rPr>
          <w:t>www.lexxusno</w:t>
        </w:r>
        <w:bookmarkStart w:id="0" w:name="_GoBack"/>
        <w:bookmarkEnd w:id="0"/>
        <w:r w:rsidR="00BB7998">
          <w:rPr>
            <w:rStyle w:val="Hypertextovodkaz"/>
            <w:rFonts w:ascii="Century Gothic" w:hAnsi="Century Gothic"/>
          </w:rPr>
          <w:t>rton.cz</w:t>
        </w:r>
      </w:hyperlink>
    </w:p>
    <w:sectPr w:rsidR="00A81A88" w:rsidRPr="007F2F5E" w:rsidSect="0072141F">
      <w:headerReference w:type="default" r:id="rId11"/>
      <w:footerReference w:type="default" r:id="rId12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5C1A0" w14:textId="77777777" w:rsidR="00B04AD3" w:rsidRDefault="00B04AD3" w:rsidP="002E72DB">
      <w:pPr>
        <w:spacing w:after="0" w:line="240" w:lineRule="auto"/>
      </w:pPr>
      <w:r>
        <w:separator/>
      </w:r>
    </w:p>
  </w:endnote>
  <w:endnote w:type="continuationSeparator" w:id="0">
    <w:p w14:paraId="38BEB151" w14:textId="77777777" w:rsidR="00B04AD3" w:rsidRDefault="00B04AD3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F619D" w14:textId="77777777" w:rsidR="00B04AD3" w:rsidRDefault="00B04AD3" w:rsidP="002E72DB">
      <w:pPr>
        <w:spacing w:after="0" w:line="240" w:lineRule="auto"/>
      </w:pPr>
      <w:r>
        <w:separator/>
      </w:r>
    </w:p>
  </w:footnote>
  <w:footnote w:type="continuationSeparator" w:id="0">
    <w:p w14:paraId="43D4373A" w14:textId="77777777" w:rsidR="00B04AD3" w:rsidRDefault="00B04AD3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1C5D"/>
    <w:rsid w:val="00015CB6"/>
    <w:rsid w:val="00022AB3"/>
    <w:rsid w:val="00036C4C"/>
    <w:rsid w:val="00045B5B"/>
    <w:rsid w:val="00050CE0"/>
    <w:rsid w:val="00060FDF"/>
    <w:rsid w:val="00074C1B"/>
    <w:rsid w:val="00082C9F"/>
    <w:rsid w:val="00087794"/>
    <w:rsid w:val="00091CF9"/>
    <w:rsid w:val="000A187D"/>
    <w:rsid w:val="000A3FBE"/>
    <w:rsid w:val="000A6587"/>
    <w:rsid w:val="000B1B7C"/>
    <w:rsid w:val="000B45F5"/>
    <w:rsid w:val="000B4A42"/>
    <w:rsid w:val="000B61BC"/>
    <w:rsid w:val="000C77B6"/>
    <w:rsid w:val="000D7D3F"/>
    <w:rsid w:val="000D7EB8"/>
    <w:rsid w:val="000E2D94"/>
    <w:rsid w:val="000E59C5"/>
    <w:rsid w:val="000E62C8"/>
    <w:rsid w:val="000F4FEA"/>
    <w:rsid w:val="000F5BFF"/>
    <w:rsid w:val="00103005"/>
    <w:rsid w:val="00103554"/>
    <w:rsid w:val="00103D6A"/>
    <w:rsid w:val="00105C1A"/>
    <w:rsid w:val="001077C5"/>
    <w:rsid w:val="00116D75"/>
    <w:rsid w:val="0012011F"/>
    <w:rsid w:val="00126132"/>
    <w:rsid w:val="00126A41"/>
    <w:rsid w:val="001369DE"/>
    <w:rsid w:val="001403FE"/>
    <w:rsid w:val="001430AF"/>
    <w:rsid w:val="00145EB1"/>
    <w:rsid w:val="00165D2C"/>
    <w:rsid w:val="00167853"/>
    <w:rsid w:val="001715F8"/>
    <w:rsid w:val="00171AC8"/>
    <w:rsid w:val="00180C53"/>
    <w:rsid w:val="00184F40"/>
    <w:rsid w:val="00191268"/>
    <w:rsid w:val="001A01C0"/>
    <w:rsid w:val="001A5A23"/>
    <w:rsid w:val="001B2E4D"/>
    <w:rsid w:val="001B3509"/>
    <w:rsid w:val="001B4C18"/>
    <w:rsid w:val="001D0C45"/>
    <w:rsid w:val="001E15E1"/>
    <w:rsid w:val="001E1F61"/>
    <w:rsid w:val="001F3829"/>
    <w:rsid w:val="001F599E"/>
    <w:rsid w:val="00216AC3"/>
    <w:rsid w:val="00224D65"/>
    <w:rsid w:val="0023241F"/>
    <w:rsid w:val="00237D6A"/>
    <w:rsid w:val="00242084"/>
    <w:rsid w:val="00244073"/>
    <w:rsid w:val="00244457"/>
    <w:rsid w:val="00247F05"/>
    <w:rsid w:val="0025041F"/>
    <w:rsid w:val="0025178B"/>
    <w:rsid w:val="00255A65"/>
    <w:rsid w:val="00260D2A"/>
    <w:rsid w:val="00270DAD"/>
    <w:rsid w:val="002712C0"/>
    <w:rsid w:val="002866E5"/>
    <w:rsid w:val="00293E71"/>
    <w:rsid w:val="0029629F"/>
    <w:rsid w:val="00297E0D"/>
    <w:rsid w:val="002B3CA6"/>
    <w:rsid w:val="002C6203"/>
    <w:rsid w:val="002C7866"/>
    <w:rsid w:val="002D3982"/>
    <w:rsid w:val="002D5C20"/>
    <w:rsid w:val="002E36EF"/>
    <w:rsid w:val="002E72DB"/>
    <w:rsid w:val="002F0525"/>
    <w:rsid w:val="002F7785"/>
    <w:rsid w:val="003066E6"/>
    <w:rsid w:val="00306D3C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44275"/>
    <w:rsid w:val="00346A69"/>
    <w:rsid w:val="00346B4D"/>
    <w:rsid w:val="00354BF8"/>
    <w:rsid w:val="003562ED"/>
    <w:rsid w:val="0036031F"/>
    <w:rsid w:val="0038459B"/>
    <w:rsid w:val="00385554"/>
    <w:rsid w:val="003963D8"/>
    <w:rsid w:val="003A04A4"/>
    <w:rsid w:val="003A6DA9"/>
    <w:rsid w:val="003B0D62"/>
    <w:rsid w:val="003C1106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07C51"/>
    <w:rsid w:val="00410CC6"/>
    <w:rsid w:val="00413A4A"/>
    <w:rsid w:val="00415EEF"/>
    <w:rsid w:val="0042415D"/>
    <w:rsid w:val="00424C9C"/>
    <w:rsid w:val="00427AA4"/>
    <w:rsid w:val="004308F1"/>
    <w:rsid w:val="004331B9"/>
    <w:rsid w:val="004377E5"/>
    <w:rsid w:val="004453B3"/>
    <w:rsid w:val="00447D36"/>
    <w:rsid w:val="004536CB"/>
    <w:rsid w:val="00454A0A"/>
    <w:rsid w:val="00457334"/>
    <w:rsid w:val="00457D91"/>
    <w:rsid w:val="00460E1C"/>
    <w:rsid w:val="0046424A"/>
    <w:rsid w:val="0047195A"/>
    <w:rsid w:val="0048414C"/>
    <w:rsid w:val="0048623A"/>
    <w:rsid w:val="00490524"/>
    <w:rsid w:val="004A305A"/>
    <w:rsid w:val="004A6E3A"/>
    <w:rsid w:val="004B7558"/>
    <w:rsid w:val="004C37A4"/>
    <w:rsid w:val="004C6FD4"/>
    <w:rsid w:val="004D08B2"/>
    <w:rsid w:val="004D0A16"/>
    <w:rsid w:val="004D3CCE"/>
    <w:rsid w:val="004D5ADF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36648"/>
    <w:rsid w:val="00537934"/>
    <w:rsid w:val="0055477B"/>
    <w:rsid w:val="00555195"/>
    <w:rsid w:val="00557BA2"/>
    <w:rsid w:val="0056371C"/>
    <w:rsid w:val="005667B7"/>
    <w:rsid w:val="005672F7"/>
    <w:rsid w:val="005777B3"/>
    <w:rsid w:val="00581D0B"/>
    <w:rsid w:val="00582F38"/>
    <w:rsid w:val="005955DE"/>
    <w:rsid w:val="005A11D5"/>
    <w:rsid w:val="005B601F"/>
    <w:rsid w:val="005B686B"/>
    <w:rsid w:val="005C39D2"/>
    <w:rsid w:val="005C3C3D"/>
    <w:rsid w:val="005C6CB9"/>
    <w:rsid w:val="005D0FA8"/>
    <w:rsid w:val="005E11B4"/>
    <w:rsid w:val="005E1D93"/>
    <w:rsid w:val="005E6AB8"/>
    <w:rsid w:val="005F124B"/>
    <w:rsid w:val="005F3558"/>
    <w:rsid w:val="005F38AA"/>
    <w:rsid w:val="006107E5"/>
    <w:rsid w:val="0061181D"/>
    <w:rsid w:val="006169A4"/>
    <w:rsid w:val="006206A4"/>
    <w:rsid w:val="00625B25"/>
    <w:rsid w:val="006351FF"/>
    <w:rsid w:val="0063562D"/>
    <w:rsid w:val="006411FB"/>
    <w:rsid w:val="0064295C"/>
    <w:rsid w:val="00653590"/>
    <w:rsid w:val="0065364D"/>
    <w:rsid w:val="00656150"/>
    <w:rsid w:val="006600A2"/>
    <w:rsid w:val="0066303A"/>
    <w:rsid w:val="00664445"/>
    <w:rsid w:val="00667424"/>
    <w:rsid w:val="006719D2"/>
    <w:rsid w:val="00672A55"/>
    <w:rsid w:val="006756E4"/>
    <w:rsid w:val="0067644F"/>
    <w:rsid w:val="00676C51"/>
    <w:rsid w:val="006777CD"/>
    <w:rsid w:val="0067793A"/>
    <w:rsid w:val="00681FC6"/>
    <w:rsid w:val="00685781"/>
    <w:rsid w:val="006867BE"/>
    <w:rsid w:val="00692D7E"/>
    <w:rsid w:val="0069785F"/>
    <w:rsid w:val="006A1776"/>
    <w:rsid w:val="006A638B"/>
    <w:rsid w:val="006A65B2"/>
    <w:rsid w:val="006B05AB"/>
    <w:rsid w:val="006B6B3B"/>
    <w:rsid w:val="006C2C44"/>
    <w:rsid w:val="006C4E6A"/>
    <w:rsid w:val="006D42B0"/>
    <w:rsid w:val="006D6B11"/>
    <w:rsid w:val="006F0144"/>
    <w:rsid w:val="006F10F0"/>
    <w:rsid w:val="006F1A80"/>
    <w:rsid w:val="006F4C8A"/>
    <w:rsid w:val="0070368A"/>
    <w:rsid w:val="00703D93"/>
    <w:rsid w:val="00703DDC"/>
    <w:rsid w:val="00710624"/>
    <w:rsid w:val="007119E0"/>
    <w:rsid w:val="00715BF1"/>
    <w:rsid w:val="0072141F"/>
    <w:rsid w:val="007239A5"/>
    <w:rsid w:val="00725ADB"/>
    <w:rsid w:val="00726B3F"/>
    <w:rsid w:val="0073686A"/>
    <w:rsid w:val="00743A37"/>
    <w:rsid w:val="00750D4B"/>
    <w:rsid w:val="007542ED"/>
    <w:rsid w:val="007604C9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A0870"/>
    <w:rsid w:val="007A507D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7777"/>
    <w:rsid w:val="00804593"/>
    <w:rsid w:val="00805258"/>
    <w:rsid w:val="00822F07"/>
    <w:rsid w:val="00836B17"/>
    <w:rsid w:val="00841407"/>
    <w:rsid w:val="008415B3"/>
    <w:rsid w:val="00847D1F"/>
    <w:rsid w:val="00850CE3"/>
    <w:rsid w:val="00850E79"/>
    <w:rsid w:val="00851E06"/>
    <w:rsid w:val="00862FED"/>
    <w:rsid w:val="00863902"/>
    <w:rsid w:val="00876809"/>
    <w:rsid w:val="00881EF6"/>
    <w:rsid w:val="008853EB"/>
    <w:rsid w:val="008932D8"/>
    <w:rsid w:val="008940EE"/>
    <w:rsid w:val="008941B2"/>
    <w:rsid w:val="00895D7F"/>
    <w:rsid w:val="008A1977"/>
    <w:rsid w:val="008B08A6"/>
    <w:rsid w:val="008B6C9B"/>
    <w:rsid w:val="008C07A4"/>
    <w:rsid w:val="008C12BC"/>
    <w:rsid w:val="008C3662"/>
    <w:rsid w:val="008D267B"/>
    <w:rsid w:val="008D447F"/>
    <w:rsid w:val="008D5616"/>
    <w:rsid w:val="008F0354"/>
    <w:rsid w:val="008F31BD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67901"/>
    <w:rsid w:val="0098238E"/>
    <w:rsid w:val="009840F9"/>
    <w:rsid w:val="00990A79"/>
    <w:rsid w:val="009942EB"/>
    <w:rsid w:val="0099430E"/>
    <w:rsid w:val="00997A6E"/>
    <w:rsid w:val="009A1758"/>
    <w:rsid w:val="009A2CF4"/>
    <w:rsid w:val="009B6185"/>
    <w:rsid w:val="009B68A4"/>
    <w:rsid w:val="009B7AD7"/>
    <w:rsid w:val="009C63CD"/>
    <w:rsid w:val="009D1FCA"/>
    <w:rsid w:val="009D743F"/>
    <w:rsid w:val="009E0418"/>
    <w:rsid w:val="009E6289"/>
    <w:rsid w:val="009F3692"/>
    <w:rsid w:val="00A01882"/>
    <w:rsid w:val="00A01C7E"/>
    <w:rsid w:val="00A15CBD"/>
    <w:rsid w:val="00A1632F"/>
    <w:rsid w:val="00A22228"/>
    <w:rsid w:val="00A304B2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6538"/>
    <w:rsid w:val="00AA56CE"/>
    <w:rsid w:val="00AB46F9"/>
    <w:rsid w:val="00AB6695"/>
    <w:rsid w:val="00AC01A8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F1F3B"/>
    <w:rsid w:val="00AF3481"/>
    <w:rsid w:val="00B0408E"/>
    <w:rsid w:val="00B04AD3"/>
    <w:rsid w:val="00B1100C"/>
    <w:rsid w:val="00B11524"/>
    <w:rsid w:val="00B12606"/>
    <w:rsid w:val="00B13D4E"/>
    <w:rsid w:val="00B147F4"/>
    <w:rsid w:val="00B2345D"/>
    <w:rsid w:val="00B2386C"/>
    <w:rsid w:val="00B23BD2"/>
    <w:rsid w:val="00B244D6"/>
    <w:rsid w:val="00B27F37"/>
    <w:rsid w:val="00B32B43"/>
    <w:rsid w:val="00B33AAD"/>
    <w:rsid w:val="00B42C0B"/>
    <w:rsid w:val="00B4436D"/>
    <w:rsid w:val="00B444BC"/>
    <w:rsid w:val="00B46D6A"/>
    <w:rsid w:val="00B541B3"/>
    <w:rsid w:val="00B6129C"/>
    <w:rsid w:val="00B617F1"/>
    <w:rsid w:val="00B81E0E"/>
    <w:rsid w:val="00B83563"/>
    <w:rsid w:val="00B8773C"/>
    <w:rsid w:val="00B92330"/>
    <w:rsid w:val="00BA5F58"/>
    <w:rsid w:val="00BB3095"/>
    <w:rsid w:val="00BB7998"/>
    <w:rsid w:val="00BC0068"/>
    <w:rsid w:val="00BD0DAD"/>
    <w:rsid w:val="00BE22EC"/>
    <w:rsid w:val="00BE46E6"/>
    <w:rsid w:val="00BE7BB8"/>
    <w:rsid w:val="00BF1E5E"/>
    <w:rsid w:val="00BF29DF"/>
    <w:rsid w:val="00BF71B0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459D"/>
    <w:rsid w:val="00C54641"/>
    <w:rsid w:val="00C56FEC"/>
    <w:rsid w:val="00C57256"/>
    <w:rsid w:val="00C57A2E"/>
    <w:rsid w:val="00C57C5D"/>
    <w:rsid w:val="00C57E8F"/>
    <w:rsid w:val="00C602A2"/>
    <w:rsid w:val="00C67C18"/>
    <w:rsid w:val="00C71AAE"/>
    <w:rsid w:val="00C83947"/>
    <w:rsid w:val="00C923C4"/>
    <w:rsid w:val="00CA187B"/>
    <w:rsid w:val="00CA4031"/>
    <w:rsid w:val="00CA5219"/>
    <w:rsid w:val="00CC0EE7"/>
    <w:rsid w:val="00CC100C"/>
    <w:rsid w:val="00CC2647"/>
    <w:rsid w:val="00CE2558"/>
    <w:rsid w:val="00CE3932"/>
    <w:rsid w:val="00CF27D5"/>
    <w:rsid w:val="00D04CC2"/>
    <w:rsid w:val="00D04F48"/>
    <w:rsid w:val="00D12A7F"/>
    <w:rsid w:val="00D13F2F"/>
    <w:rsid w:val="00D216AF"/>
    <w:rsid w:val="00D27F7E"/>
    <w:rsid w:val="00D44A1B"/>
    <w:rsid w:val="00D456C9"/>
    <w:rsid w:val="00D462B7"/>
    <w:rsid w:val="00D46F9A"/>
    <w:rsid w:val="00D5059D"/>
    <w:rsid w:val="00D541BF"/>
    <w:rsid w:val="00D6046A"/>
    <w:rsid w:val="00D63AFB"/>
    <w:rsid w:val="00D671D4"/>
    <w:rsid w:val="00D71B5B"/>
    <w:rsid w:val="00D72703"/>
    <w:rsid w:val="00D81327"/>
    <w:rsid w:val="00D85E32"/>
    <w:rsid w:val="00D8730C"/>
    <w:rsid w:val="00D90EE2"/>
    <w:rsid w:val="00D95155"/>
    <w:rsid w:val="00DA5061"/>
    <w:rsid w:val="00DA656B"/>
    <w:rsid w:val="00DB69AE"/>
    <w:rsid w:val="00DB727E"/>
    <w:rsid w:val="00DC5208"/>
    <w:rsid w:val="00DD0CE1"/>
    <w:rsid w:val="00DD2B67"/>
    <w:rsid w:val="00DF476A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5073D"/>
    <w:rsid w:val="00E65363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C0845"/>
    <w:rsid w:val="00EC20B7"/>
    <w:rsid w:val="00EC2369"/>
    <w:rsid w:val="00EC34D7"/>
    <w:rsid w:val="00EC3D94"/>
    <w:rsid w:val="00EC4B5C"/>
    <w:rsid w:val="00ED4C7B"/>
    <w:rsid w:val="00ED56F6"/>
    <w:rsid w:val="00EE6AC9"/>
    <w:rsid w:val="00EF0C33"/>
    <w:rsid w:val="00EF23A8"/>
    <w:rsid w:val="00EF339F"/>
    <w:rsid w:val="00EF5AD4"/>
    <w:rsid w:val="00EF5C74"/>
    <w:rsid w:val="00F12547"/>
    <w:rsid w:val="00F134A8"/>
    <w:rsid w:val="00F1784A"/>
    <w:rsid w:val="00F254B2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45A8F4"/>
  <w15:docId w15:val="{B511FA30-3517-4DB6-9FB0-9F201C6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xxusnorto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@lexxusnorto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D41A-0C2D-4525-9BA8-EBA062B4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5</cp:revision>
  <cp:lastPrinted>2017-09-05T12:36:00Z</cp:lastPrinted>
  <dcterms:created xsi:type="dcterms:W3CDTF">2017-09-11T12:47:00Z</dcterms:created>
  <dcterms:modified xsi:type="dcterms:W3CDTF">2017-09-11T13:25:00Z</dcterms:modified>
</cp:coreProperties>
</file>